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lineRule="auto" w:line="240" w:before="120" w:after="0"/>
        <w:rPr/>
      </w:pPr>
      <w:r>
        <w:rPr>
          <w:rFonts w:cs="Calibri"/>
          <w:i w:val="false"/>
          <w:sz w:val="32"/>
          <w:szCs w:val="32"/>
        </w:rPr>
        <w:t>15-</w:t>
      </w:r>
      <w:r>
        <w:rPr>
          <w:rFonts w:cs="Calibri"/>
          <w:i w:val="false"/>
          <w:sz w:val="32"/>
          <w:szCs w:val="32"/>
        </w:rPr>
        <w:t>ADAVETİ TERK DÜSTURU</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Ehl-i iman arasında adavetsizlik yani düşmanlık etmemek sarih beyanların getirdiği bir esastır.</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1-</w:t>
      </w:r>
      <w:r>
        <w:rPr>
          <w:rFonts w:eastAsia="Times New Roman" w:cs="Calibri" w:ascii="Calibri" w:hAnsi="Calibri"/>
          <w:sz w:val="24"/>
          <w:szCs w:val="24"/>
          <w:lang w:val="tr-TR" w:eastAsia="tr-TR"/>
        </w:rPr>
        <w:t xml:space="preserve"> «İnsanın hayat-ı içtimaiyesini ifsad eden bir desise-i şeytaniye şudur ki: Bir mü’minin birtek seyyiesiyle bütün hasenâtını örter. </w:t>
      </w:r>
      <w:r>
        <w:rPr>
          <w:rFonts w:eastAsia="Times New Roman" w:cs="Calibri" w:ascii="Calibri" w:hAnsi="Calibri"/>
          <w:b/>
          <w:sz w:val="24"/>
          <w:szCs w:val="24"/>
          <w:lang w:val="tr-TR" w:eastAsia="tr-TR"/>
        </w:rPr>
        <w:t xml:space="preserve">Şeytanın bu desisesini dinleyen insafsızlar,  mü’mine adâvet </w:t>
      </w:r>
      <w:r>
        <w:fldChar w:fldCharType="begin"/>
      </w:r>
      <w:r>
        <w:rPr>
          <w:rFonts w:cs="Calibri" w:ascii="Calibri" w:hAnsi="Calibri"/>
        </w:rPr>
        <w:instrText> XE "mü’­mine adâvet :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b/>
          <w:sz w:val="24"/>
          <w:szCs w:val="24"/>
          <w:lang w:val="tr-TR" w:eastAsia="tr-TR"/>
        </w:rPr>
        <w:t>ederler</w:t>
      </w:r>
      <w:r>
        <w:rPr>
          <w:rFonts w:eastAsia="Times New Roman" w:cs="Calibri" w:ascii="Calibri" w:hAnsi="Calibri"/>
          <w:sz w:val="24"/>
          <w:szCs w:val="24"/>
          <w:lang w:val="tr-TR" w:eastAsia="tr-TR"/>
        </w:rPr>
        <w:t>.</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sz w:val="24"/>
          <w:szCs w:val="24"/>
          <w:lang w:val="tr-TR" w:eastAsia="tr-TR"/>
        </w:rPr>
        <w:t>Halbuki, Cenâb-ı Hak, haşirde adalet-i mutlaka ile mizan-ı ekberinde a’mâl-i mükellefîni tarttığı aman, hasenâtı seyyiâta galibiyeti-mağlûbiyeti noktasında hükmeyler. Hem seyyiâtın esbabı çok ve vücutları kolay olduğundan, bazan birtek hasene ile çok seyyiâtını örter. Demek, bu dünyada o adalet-i İlâhiye</w:t>
      </w:r>
      <w:r>
        <w:fldChar w:fldCharType="begin"/>
      </w:r>
      <w:r>
        <w:rPr>
          <w:rFonts w:cs="Calibri" w:ascii="Calibri" w:hAnsi="Calibri"/>
        </w:rPr>
        <w:instrText> XE "adalet-i ‹lâhiye: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noktasında muamele gerektir. Eğer bir adamın iyilikleri fenalıklarına kemiyeten veya keyfiyeten ziyade gelse, o adam muhabbete ve hürmete müstehaktır. Belki, kıymettar birtek hasene ile, çok seyyiâtına nazar-ı afla bakmak lâzımdır.</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sz w:val="24"/>
          <w:szCs w:val="24"/>
          <w:lang w:val="tr-TR" w:eastAsia="tr-TR"/>
        </w:rPr>
        <w:t xml:space="preserve">Halbuki, insan, fıtratındaki zulüm damarıyla, şeytanın telkiniyle, </w:t>
      </w:r>
      <w:r>
        <w:rPr>
          <w:rFonts w:eastAsia="Times New Roman" w:cs="Calibri" w:ascii="Calibri" w:hAnsi="Calibri"/>
          <w:b/>
          <w:sz w:val="24"/>
          <w:szCs w:val="24"/>
          <w:lang w:val="tr-TR" w:eastAsia="tr-TR"/>
        </w:rPr>
        <w:t>bir zâtın yüz hasenâtını birtek seyyie yüzünden unutur, mü’min kardeşine adâvet eder, günahlara girer.</w:t>
      </w:r>
      <w:r>
        <w:rPr>
          <w:rFonts w:eastAsia="Times New Roman" w:cs="Calibri" w:ascii="Calibri" w:hAnsi="Calibri"/>
          <w:sz w:val="24"/>
          <w:szCs w:val="24"/>
          <w:lang w:val="tr-TR" w:eastAsia="tr-TR"/>
        </w:rPr>
        <w:t xml:space="preserve">» </w:t>
      </w:r>
      <w:r>
        <w:rPr>
          <w:rFonts w:eastAsia="Times New Roman" w:cs="Calibri" w:ascii="Calibri" w:hAnsi="Calibri"/>
          <w:sz w:val="20"/>
          <w:szCs w:val="24"/>
          <w:lang w:val="tr-TR" w:eastAsia="tr-TR"/>
        </w:rPr>
        <w:t>(Lem’alar sh: 88)</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2-</w:t>
      </w:r>
      <w:r>
        <w:rPr>
          <w:rFonts w:eastAsia="Times New Roman" w:cs="Calibri" w:ascii="Calibri" w:hAnsi="Calibri"/>
          <w:sz w:val="24"/>
          <w:szCs w:val="24"/>
          <w:lang w:val="tr-TR" w:eastAsia="tr-TR"/>
        </w:rPr>
        <w:t xml:space="preserve"> «Mü’minin şe’ni, kerîm olmaktır. Senin ikramınla sana musahhar olur. Zâhiren leîm bile olsa, iman cihetinde kerîmdir.»</w:t>
      </w:r>
      <w:r>
        <w:rPr>
          <w:rFonts w:eastAsia="Times New Roman" w:cs="Calibri" w:ascii="Calibri" w:hAnsi="Calibri"/>
          <w:sz w:val="20"/>
          <w:szCs w:val="24"/>
          <w:lang w:val="tr-TR" w:eastAsia="tr-TR"/>
        </w:rPr>
        <w:t xml:space="preserve"> (Mektubat sh: 265)</w:t>
      </w:r>
      <w:r>
        <w:rPr>
          <w:rFonts w:eastAsia="Times New Roman" w:cs="Calibri" w:ascii="Calibri" w:hAnsi="Calibri"/>
          <w:b/>
          <w:vanish/>
          <w:sz w:val="20"/>
          <w:szCs w:val="24"/>
          <w:lang w:val="tr-TR" w:eastAsia="tr-TR"/>
        </w:rPr>
        <w:t>4- tirdi¤i bir esast›r.</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 xml:space="preserve">3- </w:t>
      </w:r>
      <w:r>
        <w:rPr>
          <w:rFonts w:eastAsia="Times New Roman" w:cs="Calibri" w:ascii="Calibri" w:hAnsi="Calibri"/>
          <w:sz w:val="24"/>
          <w:szCs w:val="24"/>
          <w:lang w:val="tr-TR" w:eastAsia="tr-TR"/>
        </w:rPr>
        <w:t xml:space="preserve">«Ey ehl-i iman! Zillet içinde esaret altına girmemek isterseniz, aklınızı   başınıza   alınız.   İhtilâfınızdan   istifade   eden  zalimlere  karşı             </w:t>
      </w:r>
    </w:p>
    <w:p>
      <w:pPr>
        <w:pStyle w:val="Normal"/>
        <w:spacing w:lineRule="auto" w:line="240" w:before="130" w:after="0"/>
        <w:ind w:left="0" w:right="0" w:hanging="0"/>
        <w:jc w:val="both"/>
        <w:rPr>
          <w:rFonts w:ascii="Nur Arabic Font" w:hAnsi="Nur Arabic Font" w:cs="Nur Arabic Font"/>
          <w:color w:val="FF0000"/>
          <w:sz w:val="28"/>
          <w:szCs w:val="28"/>
          <w:highlight w:val="white"/>
        </w:rPr>
      </w:pPr>
      <w:r>
        <w:rPr>
          <w:rFonts w:eastAsia="Times New Roman" w:cs="Calibri" w:ascii="Calibri" w:hAnsi="Calibri"/>
          <w:position w:val="6"/>
          <w:sz w:val="16"/>
          <w:szCs w:val="20"/>
          <w:lang w:val="tr-TR" w:eastAsia="tr-TR"/>
        </w:rPr>
        <w:t>(</w:t>
      </w:r>
      <w:r>
        <w:rPr>
          <w:rStyle w:val="DipnotSabitleyicisi"/>
          <w:rFonts w:eastAsia="Times New Roman" w:cs="Calibri" w:ascii="Calibri" w:hAnsi="Calibri"/>
          <w:sz w:val="16"/>
          <w:szCs w:val="20"/>
          <w:lang w:val="tr-TR" w:eastAsia="tr-TR"/>
        </w:rPr>
        <w:footnoteReference w:id="2"/>
      </w:r>
      <w:r>
        <w:rPr>
          <w:rFonts w:eastAsia="Times New Roman" w:cs="Calibri" w:ascii="Calibri" w:hAnsi="Calibri"/>
          <w:position w:val="6"/>
          <w:sz w:val="16"/>
          <w:szCs w:val="20"/>
          <w:lang w:val="tr-TR" w:eastAsia="tr-TR"/>
        </w:rPr>
        <w:t>)</w:t>
      </w:r>
      <w:r>
        <w:rPr>
          <w:rFonts w:ascii="Calibri" w:hAnsi="Calibri" w:cs="Calibri"/>
          <w:color w:val="FF0000"/>
          <w:sz w:val="28"/>
          <w:sz w:val="28"/>
          <w:szCs w:val="28"/>
          <w:highlight w:val="white"/>
          <w:rtl w:val="true"/>
        </w:rPr>
        <w:t>اِنَّمَا الْمُؤْمِنُونَ اِخْوَةٌ</w:t>
      </w:r>
      <w:r>
        <w:rPr>
          <w:rFonts w:ascii="Calibri" w:hAnsi="Calibri" w:cs="Calibri"/>
          <w:color w:val="FF0000"/>
          <w:sz w:val="28"/>
          <w:sz w:val="28"/>
          <w:szCs w:val="28"/>
        </w:rPr>
        <w:t xml:space="preserve"> </w:t>
      </w:r>
      <w:r>
        <w:rPr>
          <w:rFonts w:eastAsia="Times New Roman" w:cs="Calibri" w:ascii="Calibri" w:hAnsi="Calibri"/>
          <w:sz w:val="24"/>
          <w:szCs w:val="24"/>
          <w:lang w:val="tr-TR" w:eastAsia="tr-TR"/>
        </w:rPr>
        <w:t>kale-i kudsiyesi içine giriniz, tahassun ediniz. Yoksa,</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ne</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hayatınızı</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muhafaza</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ve</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ne</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de</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hukukunuzu</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müdafaa</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edebilirsiniz.</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sz w:val="24"/>
          <w:szCs w:val="24"/>
          <w:lang w:val="tr-TR" w:eastAsia="tr-TR"/>
        </w:rPr>
        <w:t>Malûmdur ki, iki kahraman birbiriyle boğuşurken, bir çocuk ikisini de dövebilir. Bir mizanda iki dağ birbirine karşı muvazenede bulunsa, bir küçük taş, muvazenelerini bozup onlarla oynayabilir birini yukarı, birini aşağı indirir. İşte, ey ehl-i iman! İhtiraslarınızdan ve husumetkârâne tarafgirlikler</w:t>
      </w:r>
      <w:r>
        <w:fldChar w:fldCharType="begin"/>
      </w:r>
      <w:r>
        <w:rPr>
          <w:rFonts w:cs="Calibri" w:ascii="Calibri" w:hAnsi="Calibri"/>
        </w:rPr>
        <w:instrText> XE "ta­rafgirlik­ler: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inizden, kuvvetiniz hiçe iner az bir kuvvetle ezilebilirsiniz. Hayat-ı içtimaiyenizle alâkanız varsa, </w:t>
      </w:r>
      <w:r>
        <w:rPr>
          <w:rFonts w:eastAsia="Times New Roman" w:cs="Calibri" w:ascii="Calibri" w:hAnsi="Calibri"/>
          <w:position w:val="6"/>
          <w:sz w:val="16"/>
          <w:szCs w:val="20"/>
          <w:lang w:val="tr-TR" w:eastAsia="tr-TR"/>
        </w:rPr>
        <w:t>(</w:t>
      </w:r>
      <w:r>
        <w:rPr>
          <w:rStyle w:val="DipnotSabitleyicisi"/>
          <w:rFonts w:eastAsia="Times New Roman" w:cs="Calibri" w:ascii="Calibri" w:hAnsi="Calibri"/>
          <w:sz w:val="16"/>
          <w:szCs w:val="20"/>
          <w:lang w:val="tr-TR" w:eastAsia="tr-TR"/>
        </w:rPr>
        <w:footnoteReference w:id="3"/>
      </w:r>
      <w:r>
        <w:rPr>
          <w:rFonts w:eastAsia="Times New Roman" w:cs="Calibri" w:ascii="Calibri" w:hAnsi="Calibri"/>
          <w:position w:val="6"/>
          <w:sz w:val="16"/>
          <w:szCs w:val="20"/>
          <w:lang w:val="tr-TR" w:eastAsia="tr-TR"/>
        </w:rPr>
        <w:t>)</w:t>
      </w:r>
      <w:r>
        <w:rPr>
          <w:rFonts w:ascii="Calibri" w:hAnsi="Calibri" w:cs="Calibri"/>
          <w:color w:val="FF0000"/>
          <w:sz w:val="28"/>
          <w:sz w:val="28"/>
          <w:szCs w:val="28"/>
          <w:highlight w:val="white"/>
          <w:rtl w:val="true"/>
        </w:rPr>
        <w:t>اَلْمُؤْمِنُ لِلْمُؤْمِنِ كَالْبُنْيَانِ الْمَرْصُوصِ يَشُدُّ بَعْضُهُ بَعْضًا</w:t>
      </w:r>
      <w:r>
        <w:rPr>
          <w:rFonts w:ascii="Calibri" w:hAnsi="Calibri" w:cs="Calibri"/>
          <w:color w:val="FF0000"/>
          <w:sz w:val="28"/>
          <w:sz w:val="28"/>
          <w:szCs w:val="28"/>
        </w:rPr>
        <w:t xml:space="preserve"> </w:t>
      </w:r>
      <w:r>
        <w:rPr>
          <w:rFonts w:eastAsia="Times New Roman" w:cs="Calibri" w:ascii="Calibri" w:hAnsi="Calibri"/>
          <w:b/>
          <w:sz w:val="24"/>
          <w:szCs w:val="24"/>
          <w:lang w:val="tr-TR" w:eastAsia="tr-TR"/>
        </w:rPr>
        <w:t>düstur-u âliyeyi düstur-u hayat yapınız,</w:t>
      </w:r>
      <w:r>
        <w:rPr>
          <w:rFonts w:eastAsia="Times New Roman" w:cs="Calibri" w:ascii="Calibri" w:hAnsi="Calibri"/>
          <w:sz w:val="24"/>
          <w:szCs w:val="24"/>
          <w:lang w:val="tr-TR" w:eastAsia="tr-TR"/>
        </w:rPr>
        <w:t xml:space="preserve"> sefalet-i dünyevîden ve şekavet-i uhreviyeden kurtulunuz.»  </w:t>
      </w:r>
      <w:r>
        <w:rPr>
          <w:rFonts w:eastAsia="Times New Roman" w:cs="Calibri" w:ascii="Calibri" w:hAnsi="Calibri"/>
          <w:sz w:val="20"/>
          <w:szCs w:val="24"/>
          <w:lang w:val="tr-TR" w:eastAsia="tr-TR"/>
        </w:rPr>
        <w:t>(Mektubat sh: 270)</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4-</w:t>
      </w:r>
      <w:r>
        <w:rPr>
          <w:rFonts w:eastAsia="Times New Roman" w:cs="Calibri" w:ascii="Calibri" w:hAnsi="Calibri"/>
          <w:sz w:val="24"/>
          <w:szCs w:val="24"/>
          <w:lang w:val="tr-TR" w:eastAsia="tr-TR"/>
        </w:rPr>
        <w:t xml:space="preserve"> «Eğer dersen: “İhtiyar benim elimde değil fıtratımda adâvet var. Hem damarıma dokundurmuşlar, vazgeçemiyorum.”</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0"/>
          <w:szCs w:val="24"/>
          <w:lang w:val="tr-TR" w:eastAsia="tr-TR"/>
        </w:rPr>
      </w:pPr>
      <w:r>
        <w:rPr>
          <w:rFonts w:eastAsia="Times New Roman" w:cs="Calibri" w:ascii="Calibri" w:hAnsi="Calibri"/>
          <w:sz w:val="24"/>
          <w:szCs w:val="24"/>
          <w:lang w:val="tr-TR" w:eastAsia="tr-TR"/>
        </w:rPr>
        <w:t xml:space="preserve">Elcevap: </w:t>
      </w:r>
      <w:r>
        <w:rPr>
          <w:rFonts w:eastAsia="Times New Roman" w:cs="Calibri" w:ascii="Calibri" w:hAnsi="Calibri"/>
          <w:b/>
          <w:sz w:val="24"/>
          <w:szCs w:val="24"/>
          <w:lang w:val="tr-TR" w:eastAsia="tr-TR"/>
        </w:rPr>
        <w:t>Sû-i hulk ve fena haslet eseri gösterilmezse ve gıybet gibi şeylerle ve muktezasıyla amel edilmezse,</w:t>
      </w:r>
      <w:r>
        <w:rPr>
          <w:rFonts w:eastAsia="Times New Roman" w:cs="Calibri" w:ascii="Calibri" w:hAnsi="Calibri"/>
          <w:sz w:val="24"/>
          <w:szCs w:val="24"/>
          <w:lang w:val="tr-TR" w:eastAsia="tr-TR"/>
        </w:rPr>
        <w:t xml:space="preserve"> kusurunu da anlasa, zarar vermez. Madem ihtiyar senin elinde değil, vazgeçemiyorsun. Senin, mânevî bir nedamet, gizli bir tevbe ve zımnî bir istiğfar hükmünde olan kusurunu bilmen ve o haslette haksız olduğunu anlaman, onun şerrinden seni kurtarır. Zaten bu Mektubun bu Mebhasını yazdık, tâ bu mânevî istiğfarı temin etsin </w:t>
      </w:r>
      <w:r>
        <w:rPr>
          <w:rFonts w:eastAsia="Times New Roman" w:cs="Calibri" w:ascii="Calibri" w:hAnsi="Calibri"/>
          <w:b/>
          <w:sz w:val="24"/>
          <w:szCs w:val="24"/>
          <w:lang w:val="tr-TR" w:eastAsia="tr-TR"/>
        </w:rPr>
        <w:t>haksızlığı hak bilmesin, haklı hasmını haksızlıkla teşhir etmesin</w:t>
      </w:r>
      <w:r>
        <w:rPr>
          <w:rFonts w:eastAsia="Times New Roman" w:cs="Calibri" w:ascii="Calibri" w:hAnsi="Calibri"/>
          <w:sz w:val="24"/>
          <w:szCs w:val="24"/>
          <w:lang w:val="tr-TR" w:eastAsia="tr-TR"/>
        </w:rPr>
        <w:t xml:space="preserve">.» </w:t>
      </w:r>
      <w:r>
        <w:rPr>
          <w:rFonts w:eastAsia="Times New Roman" w:cs="Calibri" w:ascii="Calibri" w:hAnsi="Calibri"/>
          <w:sz w:val="20"/>
          <w:szCs w:val="24"/>
          <w:lang w:val="tr-TR" w:eastAsia="tr-TR"/>
        </w:rPr>
        <w:t>(Mektubat sh: 267)</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Haksızlık</w:t>
      </w:r>
      <w:r>
        <w:fldChar w:fldCharType="begin"/>
      </w:r>
      <w:r>
        <w:rPr>
          <w:rFonts w:cs="Calibri" w:ascii="Calibri" w:hAnsi="Calibri"/>
        </w:rPr>
        <w:instrText> XE "Haks›zl›k: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b/>
          <w:sz w:val="24"/>
          <w:szCs w:val="24"/>
          <w:lang w:val="tr-TR" w:eastAsia="tr-TR"/>
        </w:rPr>
        <w:t xml:space="preserve"> veya haklılık</w:t>
      </w:r>
      <w:r>
        <w:fldChar w:fldCharType="begin"/>
      </w:r>
      <w:r>
        <w:rPr>
          <w:rFonts w:cs="Calibri" w:ascii="Calibri" w:hAnsi="Calibri"/>
        </w:rPr>
        <w:instrText> XE "hakl›l›k: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b/>
          <w:sz w:val="24"/>
          <w:szCs w:val="24"/>
          <w:lang w:val="tr-TR" w:eastAsia="tr-TR"/>
        </w:rPr>
        <w:t>, şeriatın sarih hükümlerine göre tesbit edilir. Beşerî düşünceler</w:t>
      </w:r>
      <w:r>
        <w:fldChar w:fldCharType="begin"/>
      </w:r>
      <w:r>
        <w:rPr>
          <w:rFonts w:cs="Calibri" w:ascii="Calibri" w:hAnsi="Calibri"/>
        </w:rPr>
        <w:instrText> XE "Beﬂerî düﬂünceler: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b/>
          <w:sz w:val="24"/>
          <w:szCs w:val="24"/>
          <w:lang w:val="tr-TR" w:eastAsia="tr-TR"/>
        </w:rPr>
        <w:t xml:space="preserve"> ve şahsî kanaatler ölçü olamaz. Meselâ, gıybetin haram ve caiz olan kısımları şer’î kaynaklarda açıkça kayıdlıdır. O hükümlere göre hareket etmek mecburiyeti var. Demek 3. parağrafta nazara verilen fena haslet yani kötü ahlâk eserleri ve haksız gıybet gibi amelî ve fiilî tezahürler, zâhir ölçülerdir ki, görülemeyen düşmanlık hissinin varlığını isbat eder</w:t>
      </w:r>
      <w:r>
        <w:rPr>
          <w:rFonts w:eastAsia="Times New Roman" w:cs="Calibri" w:ascii="Calibri" w:hAnsi="Calibri"/>
          <w:b/>
          <w:sz w:val="18"/>
          <w:szCs w:val="20"/>
          <w:lang w:val="tr-TR" w:eastAsia="tr-TR"/>
        </w:rPr>
        <w:t>.</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5-</w:t>
      </w:r>
      <w:r>
        <w:rPr>
          <w:rFonts w:eastAsia="Times New Roman" w:cs="Calibri" w:ascii="Calibri" w:hAnsi="Calibri"/>
          <w:sz w:val="24"/>
          <w:szCs w:val="24"/>
          <w:lang w:val="tr-TR" w:eastAsia="tr-TR"/>
        </w:rPr>
        <w:t xml:space="preserve"> «Bir câni yüzünden çok mâsumları ihtiva eden bir gemi batırılmaz. Bir câni sıfat yüzünden, çok evsaf</w:t>
        <w:noBreakHyphen/>
        <w:t>ı mâsumeyi muhtevî bir mü’mine adavet edilmez.</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sz w:val="24"/>
          <w:szCs w:val="24"/>
          <w:lang w:val="tr-TR" w:eastAsia="tr-TR"/>
        </w:rPr>
        <w:t>Lâsiyyema, sebeb-i muhabbet</w:t>
      </w:r>
      <w:r>
        <w:fldChar w:fldCharType="begin"/>
      </w:r>
      <w:r>
        <w:rPr>
          <w:rFonts w:cs="Calibri" w:ascii="Calibri" w:hAnsi="Calibri"/>
        </w:rPr>
        <w:instrText> XE "sebeb-i muhabbet: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olan imân ve tevhid, Cebel-i Uhud</w:t>
      </w:r>
      <w:r>
        <w:fldChar w:fldCharType="begin"/>
      </w:r>
      <w:r>
        <w:rPr>
          <w:rFonts w:cs="Calibri" w:ascii="Calibri" w:hAnsi="Calibri"/>
        </w:rPr>
        <w:instrText> XE "Cebel-i Uhud: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gibidir. Sebeb-i adâvet</w:t>
      </w:r>
      <w:r>
        <w:fldChar w:fldCharType="begin"/>
      </w:r>
      <w:r>
        <w:rPr>
          <w:rFonts w:cs="Calibri" w:ascii="Calibri" w:hAnsi="Calibri"/>
        </w:rPr>
        <w:instrText> XE "Sebeb-i adâvet: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olan şeyler çakıl taşları gibidir. Çakıl taşlarını Cebel-i Uhud’dan daha ağır telâkki etmek ne kadar akılsızlıksa, mü’minin mü’mine adâveti, o kadar kalbsizliktir. Mü’minlerde adâvet, yalnız acımak mânâsında olabilir.</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sz w:val="24"/>
          <w:szCs w:val="24"/>
          <w:lang w:val="tr-TR" w:eastAsia="tr-TR"/>
        </w:rPr>
        <w:t xml:space="preserve">Elhasıl: İman muhabbeti, İslâmiyet uhuvveti istilzam eder.» </w:t>
      </w:r>
      <w:r>
        <w:rPr>
          <w:rFonts w:eastAsia="Times New Roman" w:cs="Calibri" w:ascii="Calibri" w:hAnsi="Calibri"/>
          <w:sz w:val="20"/>
          <w:szCs w:val="24"/>
          <w:lang w:val="tr-TR" w:eastAsia="tr-TR"/>
        </w:rPr>
        <w:t>(Hutbe-i Şamiye sh: 144)</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6-</w:t>
      </w:r>
      <w:r>
        <w:rPr>
          <w:rFonts w:eastAsia="Times New Roman" w:cs="Calibri" w:ascii="Calibri" w:hAnsi="Calibri"/>
          <w:sz w:val="24"/>
          <w:szCs w:val="24"/>
          <w:lang w:val="tr-TR" w:eastAsia="tr-TR"/>
        </w:rPr>
        <w:t xml:space="preserve"> «Düşmanlarımızın seyyiatı –tecavüz olmamak şartıyla– adâvetinizi celb etmesin. Cehennem ve azab-ı İlâhî kâfidir onlara…» </w:t>
      </w:r>
      <w:r>
        <w:rPr>
          <w:rFonts w:eastAsia="Times New Roman" w:cs="Calibri" w:ascii="Calibri" w:hAnsi="Calibri"/>
          <w:sz w:val="20"/>
          <w:szCs w:val="24"/>
          <w:lang w:val="tr-TR" w:eastAsia="tr-TR"/>
        </w:rPr>
        <w:t>(Hutbe-i Şamiye sh: 52)</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Cs/>
          <w:sz w:val="24"/>
          <w:szCs w:val="24"/>
          <w:lang w:val="tr-TR" w:eastAsia="tr-TR"/>
        </w:rPr>
        <w:t>7-</w:t>
      </w:r>
      <w:r>
        <w:rPr>
          <w:rFonts w:eastAsia="Times New Roman" w:cs="Calibri" w:ascii="Calibri" w:hAnsi="Calibri"/>
          <w:sz w:val="24"/>
          <w:szCs w:val="24"/>
          <w:lang w:val="tr-TR" w:eastAsia="tr-TR"/>
        </w:rPr>
        <w:t xml:space="preserve"> «Muhabbet adâvete</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zıttır</w:t>
      </w:r>
      <w:r>
        <w:fldChar w:fldCharType="begin"/>
      </w:r>
      <w:r>
        <w:rPr>
          <w:rFonts w:cs="Calibri" w:ascii="Calibri" w:hAnsi="Calibri"/>
        </w:rPr>
        <w:instrText> XE "Muhabbet adâvete z›tt›r: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 xml:space="preserve">ziya ve zulmet gibi hakikî içtima edemezler. Hangisinin esbabı galip ise, o hakikatiyle kalbde bulunacak. Onun zıddı hakikatıyla olmayacak. Meselâ, </w:t>
      </w:r>
      <w:r>
        <w:rPr>
          <w:rFonts w:eastAsia="Times New Roman" w:cs="Calibri" w:ascii="Calibri" w:hAnsi="Calibri"/>
          <w:b/>
          <w:sz w:val="24"/>
          <w:szCs w:val="24"/>
          <w:lang w:val="tr-TR" w:eastAsia="tr-TR"/>
        </w:rPr>
        <w:t>muhabbet hakikatiyle bulunsa, o vakit adâvet şefkate, acımaya inkılâp eder. Ehl-i imana karşı vaziyet budur.</w:t>
      </w:r>
      <w:r>
        <w:rPr>
          <w:rFonts w:eastAsia="Times New Roman" w:cs="Calibri" w:ascii="Calibri" w:hAnsi="Calibri"/>
          <w:sz w:val="24"/>
          <w:szCs w:val="24"/>
          <w:lang w:val="tr-TR" w:eastAsia="tr-TR"/>
        </w:rPr>
        <w:t xml:space="preserve"> Yahut adâvet hakikatiyle kalbde bulunsa, o vakit muhabbet, mümaşat ve karışmamak, zahiren dost olmak suretine döner. Bu ise tecavüz etmeyen ehl-i dalâlete karşı olabilir.</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sz w:val="24"/>
          <w:szCs w:val="24"/>
          <w:lang w:val="tr-TR" w:eastAsia="tr-TR"/>
        </w:rPr>
        <w:t xml:space="preserve">Evet, muhabbetin sebebleri, iman, İslâmiyet, cinsiyet ve insaniyet gibi nuranî, kuvvetli zincirler ve mânevî kalelerdir. Adâvetin sebebleri, ehl-i imana karşı küçük taşlar gibi bir kısım hususî sebeblerdir. Öyleyse, </w:t>
      </w:r>
      <w:r>
        <w:rPr>
          <w:rFonts w:eastAsia="Times New Roman" w:cs="Calibri" w:ascii="Calibri" w:hAnsi="Calibri"/>
          <w:b/>
          <w:sz w:val="24"/>
          <w:szCs w:val="24"/>
          <w:lang w:val="tr-TR" w:eastAsia="tr-TR"/>
        </w:rPr>
        <w:t>bir Müslümana hakikî adâvet eden, o dağ gibi muhabbet esbablarını istihfaf etmek hükmünde büyük bir hatâdır</w:t>
      </w:r>
      <w:r>
        <w:rPr>
          <w:rFonts w:eastAsia="Times New Roman" w:cs="Calibri" w:ascii="Calibri" w:hAnsi="Calibri"/>
          <w:sz w:val="24"/>
          <w:szCs w:val="24"/>
          <w:lang w:val="tr-TR" w:eastAsia="tr-TR"/>
        </w:rPr>
        <w:t xml:space="preserve">.» </w:t>
      </w:r>
      <w:r>
        <w:rPr>
          <w:rFonts w:eastAsia="Times New Roman" w:cs="Calibri" w:ascii="Calibri" w:hAnsi="Calibri"/>
          <w:sz w:val="20"/>
          <w:szCs w:val="24"/>
          <w:lang w:val="tr-TR" w:eastAsia="tr-TR"/>
        </w:rPr>
        <w:t>(Hutbe-i Şamiye sh: 53)</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8-</w:t>
      </w:r>
      <w:r>
        <w:rPr>
          <w:rFonts w:eastAsia="Times New Roman" w:cs="Calibri" w:ascii="Calibri" w:hAnsi="Calibri"/>
          <w:sz w:val="24"/>
          <w:szCs w:val="24"/>
          <w:lang w:val="tr-TR" w:eastAsia="tr-TR"/>
        </w:rPr>
        <w:t xml:space="preserve"> «Bizim cemaatimizin meşrebi</w:t>
      </w:r>
      <w:r>
        <w:fldChar w:fldCharType="begin"/>
      </w:r>
      <w:r>
        <w:rPr>
          <w:rFonts w:cs="Calibri" w:ascii="Calibri" w:hAnsi="Calibri"/>
        </w:rPr>
        <w:instrText> XE "Bizim cemaat›mizin meﬂrebi: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muhabbete muhabbet</w:t>
      </w:r>
      <w:r>
        <w:fldChar w:fldCharType="begin"/>
      </w:r>
      <w:r>
        <w:rPr>
          <w:rFonts w:cs="Calibri" w:ascii="Calibri" w:hAnsi="Calibri"/>
        </w:rPr>
        <w:instrText> XE "muhabbete mu­habbet: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ve husumete husumet</w:t>
      </w:r>
      <w:r>
        <w:fldChar w:fldCharType="begin"/>
      </w:r>
      <w:r>
        <w:rPr>
          <w:rFonts w:cs="Calibri" w:ascii="Calibri" w:hAnsi="Calibri"/>
        </w:rPr>
        <w:instrText> XE "husumete husumet: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tir. Yani, beyne’l-İslâm muhabbete imdat ve husumet askerini bozmaktır.» </w:t>
      </w:r>
      <w:r>
        <w:rPr>
          <w:rFonts w:eastAsia="Times New Roman" w:cs="Calibri" w:ascii="Calibri" w:hAnsi="Calibri"/>
          <w:sz w:val="20"/>
          <w:szCs w:val="24"/>
          <w:lang w:val="tr-TR" w:eastAsia="tr-TR"/>
        </w:rPr>
        <w:t>(Hutbe-i Şamiye sh: 86)</w:t>
      </w:r>
    </w:p>
    <w:p>
      <w:pPr>
        <w:pStyle w:val="Normal"/>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9-</w:t>
      </w:r>
      <w:r>
        <w:rPr>
          <w:rFonts w:eastAsia="Times New Roman" w:cs="Calibri" w:ascii="Calibri" w:hAnsi="Calibri"/>
          <w:sz w:val="24"/>
          <w:szCs w:val="24"/>
          <w:lang w:val="tr-TR" w:eastAsia="tr-TR"/>
        </w:rPr>
        <w:t xml:space="preserve"> « </w:t>
      </w:r>
      <w:r>
        <w:rPr>
          <w:rFonts w:eastAsia="Times New Roman" w:cs="Calibri" w:ascii="Calibri" w:hAnsi="Calibri"/>
          <w:position w:val="6"/>
          <w:sz w:val="16"/>
          <w:szCs w:val="20"/>
          <w:lang w:val="tr-TR" w:eastAsia="tr-TR"/>
        </w:rPr>
        <w:t>(</w:t>
      </w:r>
      <w:r>
        <w:rPr>
          <w:rStyle w:val="DipnotSabitleyicisi"/>
          <w:rFonts w:eastAsia="Times New Roman" w:cs="Calibri" w:ascii="Calibri" w:hAnsi="Calibri"/>
          <w:sz w:val="16"/>
          <w:szCs w:val="20"/>
          <w:lang w:val="tr-TR" w:eastAsia="tr-TR"/>
        </w:rPr>
        <w:footnoteReference w:id="4"/>
      </w:r>
      <w:r>
        <w:rPr>
          <w:rFonts w:eastAsia="Times New Roman" w:cs="Calibri" w:ascii="Calibri" w:hAnsi="Calibri"/>
          <w:position w:val="6"/>
          <w:sz w:val="16"/>
          <w:szCs w:val="20"/>
          <w:lang w:val="tr-TR" w:eastAsia="tr-TR"/>
        </w:rPr>
        <w:t>)</w:t>
      </w:r>
      <w:r>
        <w:rPr>
          <w:rFonts w:ascii="Calibri" w:hAnsi="Calibri" w:cs="Calibri"/>
          <w:color w:val="FF0000"/>
          <w:sz w:val="28"/>
          <w:sz w:val="28"/>
          <w:szCs w:val="28"/>
          <w:highlight w:val="white"/>
          <w:rtl w:val="true"/>
        </w:rPr>
        <w:t>وَ لاَ تَزِرُ وَازِرَةٌ وِزْرَ اُخْرَى</w:t>
      </w:r>
      <w:r>
        <w:rPr>
          <w:rFonts w:ascii="Calibri" w:hAnsi="Calibri" w:eastAsia="Times New Roman" w:cs="Calibri"/>
          <w:sz w:val="28"/>
          <w:sz w:val="28"/>
          <w:szCs w:val="28"/>
          <w:lang w:val="tr-TR" w:eastAsia="tr-TR"/>
        </w:rPr>
        <w:t xml:space="preserve"> </w:t>
      </w:r>
      <w:r>
        <w:rPr>
          <w:rFonts w:eastAsia="Times New Roman" w:cs="Calibri" w:ascii="Calibri" w:hAnsi="Calibri"/>
          <w:sz w:val="24"/>
          <w:szCs w:val="24"/>
          <w:lang w:val="tr-TR" w:eastAsia="tr-TR"/>
        </w:rPr>
        <w:t xml:space="preserve">İşte  siyaset-i  şahsiye,  cemaatiye, milliyeye dair en âdil bir </w:t>
      </w:r>
      <w:r>
        <w:rPr>
          <w:rFonts w:eastAsia="Times New Roman" w:cs="Calibri" w:ascii="Calibri" w:hAnsi="Calibri"/>
          <w:sz w:val="24"/>
          <w:szCs w:val="24"/>
          <w:lang w:val="tr-TR" w:eastAsia="tr-TR"/>
        </w:rPr>
        <w:t>d</w:t>
      </w:r>
      <w:r>
        <w:rPr>
          <w:rFonts w:eastAsia="Times New Roman" w:cs="Calibri" w:ascii="Calibri" w:hAnsi="Calibri"/>
          <w:sz w:val="24"/>
          <w:szCs w:val="24"/>
          <w:lang w:val="tr-TR" w:eastAsia="tr-TR"/>
        </w:rPr>
        <w:t>üstur-u Kur’ânî</w:t>
      </w:r>
      <w:r>
        <w:fldChar w:fldCharType="begin"/>
      </w:r>
      <w:r>
        <w:rPr>
          <w:rFonts w:cs="Calibri" w:ascii="Calibri" w:hAnsi="Calibri"/>
        </w:rPr>
        <w:instrText> XE "âdil bir düstur-u Kur’ânî: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w:t>
      </w:r>
      <w:r>
        <w:rPr>
          <w:rFonts w:ascii="Calibri" w:hAnsi="Calibri" w:cs="Calibri"/>
          <w:color w:val="FF0000"/>
          <w:sz w:val="28"/>
          <w:sz w:val="28"/>
          <w:szCs w:val="28"/>
          <w:highlight w:val="white"/>
          <w:rtl w:val="true"/>
        </w:rPr>
        <w:t>اِنَّهُ كَانَ ظَلُومًا جَهُولاً</w:t>
      </w:r>
      <w:r>
        <w:rPr>
          <w:rFonts w:ascii="Calibri" w:hAnsi="Calibri" w:eastAsia="Times New Roman" w:cs="Calibri"/>
          <w:sz w:val="24"/>
          <w:sz w:val="24"/>
          <w:szCs w:val="24"/>
          <w:lang w:val="tr-TR" w:eastAsia="tr-TR"/>
        </w:rPr>
        <w:t xml:space="preserve">  </w:t>
      </w:r>
      <w:r>
        <w:rPr>
          <w:rFonts w:eastAsia="Times New Roman" w:cs="Calibri" w:ascii="Calibri" w:hAnsi="Calibri"/>
          <w:sz w:val="24"/>
          <w:szCs w:val="24"/>
          <w:lang w:val="tr-TR" w:eastAsia="tr-TR"/>
        </w:rPr>
        <w:t xml:space="preserve">Bir şahıs çok evsafa câmidir. Onların içinde bir sıfat, adâveti celb etse, birinci âyetteki  kanun-u  İlâhî iktiza eder ki,  adavet o sıfata inhisar etsin, mecma-i evsaf-ı masume olan şahsına yalnız acısın ve tecavüz etmesin.» </w:t>
      </w:r>
      <w:r>
        <w:rPr>
          <w:rFonts w:eastAsia="Times New Roman" w:cs="Calibri" w:ascii="Calibri" w:hAnsi="Calibri"/>
          <w:sz w:val="20"/>
          <w:szCs w:val="24"/>
          <w:lang w:val="tr-TR" w:eastAsia="tr-TR"/>
        </w:rPr>
        <w:t>(Sünuhat Tuluat  İşarat sh: 2</w:t>
      </w:r>
      <w:r>
        <w:rPr>
          <w:rFonts w:eastAsia="Times New Roman" w:cs="Calibri" w:ascii="Calibri" w:hAnsi="Calibri"/>
          <w:color w:val="000000" w:themeColor="text1"/>
          <w:sz w:val="20"/>
          <w:szCs w:val="24"/>
          <w:lang w:val="tr-TR" w:eastAsia="tr-TR"/>
        </w:rPr>
        <w:t>7)</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10-</w:t>
      </w:r>
      <w:r>
        <w:rPr>
          <w:rFonts w:eastAsia="Times New Roman" w:cs="Calibri" w:ascii="Calibri" w:hAnsi="Calibri"/>
          <w:sz w:val="24"/>
          <w:szCs w:val="24"/>
          <w:lang w:val="tr-TR" w:eastAsia="tr-TR"/>
        </w:rPr>
        <w:t xml:space="preserve"> «Benim mezhebim, muhabbete muhabbet etmektir, husumete husumet etmektir. Yani dünyada en sevdiğim şey muhabbet ve en darıldığım şey de husumet ve adâvettir.»</w:t>
      </w:r>
      <w:r>
        <w:rPr>
          <w:rFonts w:eastAsia="Times New Roman" w:cs="Calibri" w:ascii="Calibri" w:hAnsi="Calibri"/>
          <w:sz w:val="20"/>
          <w:szCs w:val="24"/>
          <w:lang w:val="tr-TR" w:eastAsia="tr-TR"/>
        </w:rPr>
        <w:t xml:space="preserve"> (Münazarat sh: 77)</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11-</w:t>
      </w:r>
      <w:r>
        <w:rPr>
          <w:rFonts w:eastAsia="Times New Roman" w:cs="Calibri" w:ascii="Calibri" w:hAnsi="Calibri"/>
          <w:sz w:val="24"/>
          <w:szCs w:val="24"/>
          <w:lang w:val="tr-TR" w:eastAsia="tr-TR"/>
        </w:rPr>
        <w:t xml:space="preserve"> «Meselâ, </w:t>
      </w:r>
      <w:r>
        <w:rPr>
          <w:rFonts w:eastAsia="Times New Roman" w:cs="Calibri" w:ascii="Calibri" w:hAnsi="Calibri"/>
          <w:b/>
          <w:sz w:val="24"/>
          <w:szCs w:val="24"/>
          <w:lang w:val="tr-TR" w:eastAsia="tr-TR"/>
        </w:rPr>
        <w:t>mü’minler mâbeyninde husûmet ve adâvet bir seyyiedir.</w:t>
      </w:r>
      <w:r>
        <w:rPr>
          <w:rFonts w:eastAsia="Times New Roman" w:cs="Calibri" w:ascii="Calibri" w:hAnsi="Calibri"/>
          <w:sz w:val="24"/>
          <w:szCs w:val="24"/>
          <w:lang w:val="tr-TR" w:eastAsia="tr-TR"/>
        </w:rPr>
        <w:t xml:space="preserve"> O seyyie içinde, kalb ve rûhu sıkıntılarla boğacak bir azâb-ı vicdânîyi, âlicenap ruhlara hissettirir. Ben kendim, belki yüz defadan fazla tecrübe etmişim ki, bir mü’min kardeşe adâvetim vaktinde, o adâvetten öyle bir azap çekiyordum şüphe bırakmıyordu ki, bu seyyieme muaccel bir cezâdır, çektiriliyor.» </w:t>
      </w:r>
      <w:r>
        <w:rPr>
          <w:rFonts w:eastAsia="Times New Roman" w:cs="Calibri" w:ascii="Calibri" w:hAnsi="Calibri"/>
          <w:sz w:val="20"/>
          <w:szCs w:val="24"/>
          <w:lang w:val="tr-TR" w:eastAsia="tr-TR"/>
        </w:rPr>
        <w:t>(Osmanlıca Lem’alar sh: 684)</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12-</w:t>
      </w:r>
      <w:r>
        <w:rPr>
          <w:rFonts w:eastAsia="Times New Roman" w:cs="Calibri" w:ascii="Calibri" w:hAnsi="Calibri"/>
          <w:sz w:val="24"/>
          <w:szCs w:val="24"/>
          <w:lang w:val="tr-TR" w:eastAsia="tr-TR"/>
        </w:rPr>
        <w:t xml:space="preserve"> «İstanbul’da malûm itiraz hadisesi ima ediyor ki, ileride, meşrebini çok beğenen bazı zatlar ve hodgâm bazı sofi-meşrepler</w:t>
      </w:r>
      <w:r>
        <w:fldChar w:fldCharType="begin"/>
      </w:r>
      <w:r>
        <w:rPr>
          <w:rFonts w:cs="Calibri" w:ascii="Calibri" w:hAnsi="Calibri"/>
        </w:rPr>
        <w:instrText> XE "sofi-meﬂrepler: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ve nefs-i emmaresini tam öldürmeyen ve hubb-u câh vartasından kurtulmayan bazı ehl-i irşad ve ehl-i hak, Risale-i Nur’a ve şakirdlerine karşı kendi meşreplerini ve mesleklerinin revacını ve etbâlarının hüsn-ü teveccühlerini muhafaza niyetiyle itiraz edecekler belki dehşetli mukabele etmek ihtimali var. Böyle hadiselerin vukuunda, bizlere, itidâl-i dem </w:t>
      </w:r>
      <w:r>
        <w:fldChar w:fldCharType="begin"/>
      </w:r>
      <w:r>
        <w:rPr>
          <w:rFonts w:cs="Calibri" w:ascii="Calibri" w:hAnsi="Calibri"/>
        </w:rPr>
        <w:instrText> XE "itidâl-i dem :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ve sarsılmamak ve </w:t>
      </w:r>
      <w:r>
        <w:rPr>
          <w:rFonts w:eastAsia="Times New Roman" w:cs="Calibri" w:ascii="Calibri" w:hAnsi="Calibri"/>
          <w:b/>
          <w:sz w:val="24"/>
          <w:szCs w:val="24"/>
          <w:lang w:val="tr-TR" w:eastAsia="tr-TR"/>
        </w:rPr>
        <w:t>adavete girmemek</w:t>
      </w:r>
      <w:r>
        <w:rPr>
          <w:rFonts w:eastAsia="Times New Roman" w:cs="Calibri" w:ascii="Calibri" w:hAnsi="Calibri"/>
          <w:sz w:val="24"/>
          <w:szCs w:val="24"/>
          <w:lang w:val="tr-TR" w:eastAsia="tr-TR"/>
        </w:rPr>
        <w:t xml:space="preserve"> </w:t>
      </w:r>
      <w:r>
        <w:fldChar w:fldCharType="begin"/>
      </w:r>
      <w:r>
        <w:rPr>
          <w:rFonts w:cs="Calibri" w:ascii="Calibri" w:hAnsi="Calibri"/>
        </w:rPr>
        <w:instrText> XE "adavete girme­mek :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ve o muarız taifenin de rüesalarını çürütmemek gerektir.» </w:t>
      </w:r>
      <w:r>
        <w:rPr>
          <w:rFonts w:eastAsia="Times New Roman" w:cs="Calibri" w:ascii="Calibri" w:hAnsi="Calibri"/>
          <w:sz w:val="20"/>
          <w:szCs w:val="24"/>
          <w:lang w:val="tr-TR" w:eastAsia="tr-TR"/>
        </w:rPr>
        <w:t>(Kastamonu Lâhikası sh: 196)</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13-</w:t>
      </w:r>
      <w:r>
        <w:rPr>
          <w:rFonts w:eastAsia="Times New Roman" w:cs="Calibri" w:ascii="Calibri" w:hAnsi="Calibri"/>
          <w:sz w:val="24"/>
          <w:szCs w:val="24"/>
          <w:lang w:val="tr-TR" w:eastAsia="tr-TR"/>
        </w:rPr>
        <w:t xml:space="preserve"> «O vâiz ve âlim zâta benim tarafımdan selâm söyleyiniz. Benim şahsıma olan tenkidini, itirazını, başım üstüne kabul ediyorum. Sizler de, o zâtı ve onun gibileri münakaşa ve münazaraya sevk etmeyiniz. Hattâ tecavüz edilse de bedduayla da mukabele etmeyiniz. Kim olursa olsun, </w:t>
      </w:r>
      <w:r>
        <w:rPr>
          <w:rFonts w:eastAsia="Times New Roman" w:cs="Calibri" w:ascii="Calibri" w:hAnsi="Calibri"/>
          <w:b/>
          <w:sz w:val="24"/>
          <w:szCs w:val="24"/>
          <w:lang w:val="tr-TR" w:eastAsia="tr-TR"/>
        </w:rPr>
        <w:t>madem imanı var, o noktada kardeşimizdir. Bize düşmanlık da etse, mesleğimizce mukabele edemeyiz.</w:t>
      </w:r>
      <w:r>
        <w:rPr>
          <w:rFonts w:eastAsia="Times New Roman" w:cs="Calibri" w:ascii="Calibri" w:hAnsi="Calibri"/>
          <w:sz w:val="24"/>
          <w:szCs w:val="24"/>
          <w:lang w:val="tr-TR" w:eastAsia="tr-TR"/>
        </w:rPr>
        <w:t xml:space="preserve"> Çünkü, daha müthiş düşman ve yılanlar var.» </w:t>
      </w:r>
      <w:r>
        <w:rPr>
          <w:rFonts w:eastAsia="Times New Roman" w:cs="Calibri" w:ascii="Calibri" w:hAnsi="Calibri"/>
          <w:sz w:val="20"/>
          <w:szCs w:val="24"/>
          <w:lang w:val="tr-TR" w:eastAsia="tr-TR"/>
        </w:rPr>
        <w:t>(Kastamonu Lâhikası sh: 247)</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14-</w:t>
      </w:r>
      <w:r>
        <w:rPr>
          <w:rFonts w:eastAsia="Times New Roman" w:cs="Calibri" w:ascii="Calibri" w:hAnsi="Calibri"/>
          <w:sz w:val="24"/>
          <w:szCs w:val="24"/>
          <w:lang w:val="tr-TR" w:eastAsia="tr-TR"/>
        </w:rPr>
        <w:t xml:space="preserve"> «Sakın, sakın, dünya cereyanları, hususan siyaset cereyanları</w:t>
      </w:r>
      <w:r>
        <w:fldChar w:fldCharType="begin"/>
      </w:r>
      <w:r>
        <w:rPr>
          <w:rFonts w:cs="Calibri" w:ascii="Calibri" w:hAnsi="Calibri"/>
        </w:rPr>
        <w:instrText> XE "si­yaset cere­yanlar›: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ve bilhassa harice bakan cereyanlar sizi tefrikaya atmasın. Karşınızda ittihad etmiş dalâlet fırkalarına karşı perişan etmesin</w:t>
      </w:r>
      <w:r>
        <w:rPr>
          <w:rFonts w:ascii="Calibri" w:hAnsi="Calibri" w:cs="Calibri"/>
          <w:color w:val="FF0000"/>
          <w:sz w:val="28"/>
          <w:sz w:val="28"/>
          <w:szCs w:val="28"/>
          <w:highlight w:val="white"/>
          <w:rtl w:val="true"/>
        </w:rPr>
        <w:t>اَلْحُبُّ فِى اللّٰهِ وَ الْبُغْضُ فِى اللّٰهِ</w:t>
      </w:r>
      <w:r>
        <w:rPr>
          <w:rFonts w:ascii="Calibri" w:hAnsi="Calibri" w:eastAsia="Times New Roman" w:cs="Calibri"/>
          <w:sz w:val="12"/>
          <w:sz w:val="12"/>
          <w:szCs w:val="12"/>
          <w:lang w:val="tr-TR" w:eastAsia="tr-TR"/>
        </w:rPr>
        <w:t xml:space="preserve"> </w:t>
      </w:r>
      <w:r>
        <w:rPr>
          <w:rFonts w:eastAsia="Times New Roman" w:cs="Calibri" w:ascii="Calibri" w:hAnsi="Calibri"/>
          <w:position w:val="6"/>
          <w:sz w:val="16"/>
          <w:szCs w:val="20"/>
          <w:lang w:val="tr-TR" w:eastAsia="tr-TR"/>
        </w:rPr>
        <w:t>(</w:t>
      </w:r>
      <w:r>
        <w:rPr>
          <w:rStyle w:val="DipnotSabitleyicisi"/>
          <w:rFonts w:eastAsia="Times New Roman" w:cs="Calibri" w:ascii="Calibri" w:hAnsi="Calibri"/>
          <w:sz w:val="16"/>
          <w:szCs w:val="20"/>
          <w:lang w:val="tr-TR" w:eastAsia="tr-TR"/>
        </w:rPr>
        <w:footnoteReference w:id="5"/>
      </w:r>
      <w:r>
        <w:rPr>
          <w:rFonts w:eastAsia="Times New Roman" w:cs="Calibri" w:ascii="Calibri" w:hAnsi="Calibri"/>
          <w:position w:val="6"/>
          <w:sz w:val="16"/>
          <w:szCs w:val="20"/>
          <w:lang w:val="tr-TR" w:eastAsia="tr-TR"/>
        </w:rPr>
        <w:t>)</w:t>
      </w:r>
      <w:r>
        <w:rPr>
          <w:rFonts w:eastAsia="Times New Roman" w:cs="Calibri" w:ascii="Calibri" w:hAnsi="Calibri"/>
          <w:sz w:val="24"/>
          <w:szCs w:val="24"/>
          <w:lang w:val="tr-TR" w:eastAsia="tr-TR"/>
        </w:rPr>
        <w:t xml:space="preserve"> düstur-u</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Rahmânî</w:t>
      </w:r>
      <w:r>
        <w:rPr>
          <w:rFonts w:eastAsia="Times New Roman" w:cs="Calibri" w:ascii="Calibri" w:hAnsi="Calibri"/>
          <w:sz w:val="16"/>
          <w:szCs w:val="16"/>
          <w:lang w:val="tr-TR" w:eastAsia="tr-TR"/>
        </w:rPr>
        <w:t xml:space="preserve"> </w:t>
      </w:r>
      <w:r>
        <w:rPr>
          <w:rFonts w:eastAsia="Times New Roman" w:cs="Calibri" w:ascii="Calibri" w:hAnsi="Calibri"/>
          <w:sz w:val="24"/>
          <w:szCs w:val="24"/>
          <w:lang w:val="tr-TR" w:eastAsia="tr-TR"/>
        </w:rPr>
        <w:t xml:space="preserve">yerine (el-iyazü billâh) </w:t>
      </w:r>
      <w:r>
        <w:rPr>
          <w:rFonts w:ascii="Calibri" w:hAnsi="Calibri" w:cs="Calibri"/>
          <w:color w:val="FF0000"/>
          <w:sz w:val="28"/>
          <w:sz w:val="28"/>
          <w:szCs w:val="28"/>
          <w:highlight w:val="white"/>
          <w:rtl w:val="true"/>
        </w:rPr>
        <w:t>اَلْحُبُّ فِى السِّيَاسَةِ وَ الْبُغْضُ لِلسِّيَاسَةِ</w:t>
      </w:r>
      <w:r>
        <w:rPr>
          <w:rFonts w:ascii="Calibri" w:hAnsi="Calibri" w:eastAsia="Times New Roman" w:cs="Calibri"/>
          <w:sz w:val="28"/>
          <w:sz w:val="28"/>
          <w:szCs w:val="28"/>
          <w:lang w:val="tr-TR" w:eastAsia="tr-TR"/>
        </w:rPr>
        <w:t xml:space="preserve"> </w:t>
      </w:r>
      <w:r>
        <w:rPr>
          <w:rFonts w:eastAsia="Times New Roman" w:cs="Calibri" w:ascii="Calibri" w:hAnsi="Calibri"/>
          <w:sz w:val="24"/>
          <w:szCs w:val="24"/>
          <w:lang w:val="tr-TR" w:eastAsia="tr-TR"/>
        </w:rPr>
        <w:t xml:space="preserve">düstur-u şeytanî </w:t>
      </w:r>
      <w:r>
        <w:fldChar w:fldCharType="begin"/>
      </w:r>
      <w:r>
        <w:rPr>
          <w:rFonts w:cs="Calibri" w:ascii="Calibri" w:hAnsi="Calibri"/>
        </w:rPr>
        <w:instrText> XE "düs­tur-u ﬂeytanî :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hükmedip, melek gibi bir hakikat kardeşine adâvet ve elhannâs</w:t>
      </w:r>
      <w:r>
        <w:fldChar w:fldCharType="begin"/>
      </w:r>
      <w:r>
        <w:rPr>
          <w:rFonts w:cs="Calibri" w:ascii="Calibri" w:hAnsi="Calibri"/>
        </w:rPr>
        <w:instrText> XE "elhannâs: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gibi bir siyaset arkadaşına muhabbet ve taraftarlıkla zulmüne rıza gösterip cinayetine mânen şerik eylemesin.» </w:t>
      </w:r>
      <w:r>
        <w:rPr>
          <w:rFonts w:eastAsia="Times New Roman" w:cs="Calibri" w:ascii="Calibri" w:hAnsi="Calibri"/>
          <w:sz w:val="20"/>
          <w:szCs w:val="24"/>
          <w:lang w:val="tr-TR" w:eastAsia="tr-TR"/>
        </w:rPr>
        <w:t>(Kastamonu Lâhikası sh: 122)</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15-</w:t>
      </w:r>
      <w:r>
        <w:rPr>
          <w:rFonts w:eastAsia="Times New Roman" w:cs="Calibri" w:ascii="Calibri" w:hAnsi="Calibri"/>
          <w:sz w:val="24"/>
          <w:szCs w:val="24"/>
          <w:lang w:val="tr-TR" w:eastAsia="tr-TR"/>
        </w:rPr>
        <w:t xml:space="preserve"> «Şark husumeti</w:t>
      </w:r>
      <w:r>
        <w:fldChar w:fldCharType="begin"/>
      </w:r>
      <w:r>
        <w:rPr>
          <w:rFonts w:cs="Calibri" w:ascii="Calibri" w:hAnsi="Calibri"/>
        </w:rPr>
        <w:instrText> XE "ﬁark husumeti: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İslâm inkişafını boğuyordu zâil oldu ve olmalı. Garp husumeti,</w:t>
      </w:r>
      <w:r>
        <w:fldChar w:fldCharType="begin"/>
      </w:r>
      <w:r>
        <w:rPr>
          <w:rFonts w:cs="Calibri" w:ascii="Calibri" w:hAnsi="Calibri"/>
        </w:rPr>
        <w:instrText> XE "Garp husumeti,: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 İslâmın ittihadına, uhuvvetin inkişafına en müessir sebebtir bâki kalmalı.» </w:t>
      </w:r>
      <w:r>
        <w:rPr>
          <w:rFonts w:eastAsia="Times New Roman" w:cs="Calibri" w:ascii="Calibri" w:hAnsi="Calibri"/>
          <w:sz w:val="20"/>
          <w:szCs w:val="24"/>
          <w:lang w:val="tr-TR" w:eastAsia="tr-TR"/>
        </w:rPr>
        <w:t>(Tarihçe-i Hayat sh: 133)</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16-</w:t>
      </w:r>
      <w:r>
        <w:rPr>
          <w:rFonts w:eastAsia="Times New Roman" w:cs="Calibri" w:ascii="Calibri" w:hAnsi="Calibri"/>
          <w:sz w:val="24"/>
          <w:szCs w:val="24"/>
          <w:lang w:val="tr-TR" w:eastAsia="tr-TR"/>
        </w:rPr>
        <w:t xml:space="preserve"> «Şimdi ise, en ziyade birbirine muhtaç ve birbirinden mazlum ve birbirinden fakir ve ecnebî tahakkümü altında ezilen anâsır ve  kabâil-i  İslâmiye içinde, fikr-i milliyetle birbirine yabanî bakmak ve birbirini düşman telâkki etmek öyle bir felâkettir ki, tarif edilmez. Adeta bir sineğin ısırmaması için, müthiş yılanlara arka çevirip sineğin ısırmasına karşı mukabele etmek gibi bir divanelikle, büyük ejderhalar hükmünde olan Avrupa</w:t>
      </w:r>
      <w:r>
        <w:fldChar w:fldCharType="begin"/>
      </w:r>
      <w:r>
        <w:rPr>
          <w:rFonts w:cs="Calibri" w:ascii="Calibri" w:hAnsi="Calibri"/>
        </w:rPr>
        <w:instrText> XE "Avrupa: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’nın doymak bilmez hırslarını, pençelerini açtıkları bir zamanda onlara ehemmiyet vermeyip, belki mânen onlara yardım edip, menfi unsuriyet fikriyle </w:t>
      </w:r>
      <w:r>
        <w:rPr>
          <w:rFonts w:eastAsia="Times New Roman" w:cs="Calibri" w:ascii="Calibri" w:hAnsi="Calibri"/>
          <w:b/>
          <w:sz w:val="24"/>
          <w:szCs w:val="24"/>
          <w:lang w:val="tr-TR" w:eastAsia="tr-TR"/>
        </w:rPr>
        <w:t>şark vilâyetleri</w:t>
      </w:r>
      <w:r>
        <w:fldChar w:fldCharType="begin"/>
      </w:r>
      <w:r>
        <w:rPr>
          <w:rFonts w:cs="Calibri" w:ascii="Calibri" w:hAnsi="Calibri"/>
        </w:rPr>
        <w:instrText> XE "ﬂark vilâyetleri: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b/>
          <w:sz w:val="24"/>
          <w:szCs w:val="24"/>
          <w:lang w:val="tr-TR" w:eastAsia="tr-TR"/>
        </w:rPr>
        <w:t>ndeki vatandaşlara veya cenup tarafındaki dindaşlar</w:t>
      </w:r>
      <w:r>
        <w:fldChar w:fldCharType="begin"/>
      </w:r>
      <w:r>
        <w:rPr>
          <w:rFonts w:cs="Calibri" w:ascii="Calibri" w:hAnsi="Calibri"/>
        </w:rPr>
        <w:instrText> XE "ce­nup ta­raf›ndaki dindaﬂlar: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b/>
          <w:sz w:val="24"/>
          <w:szCs w:val="24"/>
          <w:lang w:val="tr-TR" w:eastAsia="tr-TR"/>
        </w:rPr>
        <w:t xml:space="preserve">a adâvet besleyip onlara karşı cephe almak, çok zararları ve mehâlikiyle beraber, o cenup efradları içinde düşman olarak yoktur ki, onlara karşı cephe alınsın. </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Cenuptan gelen Kur’ân nuru var İslâmiyet ziyası gelmiş; o içimizde vardır ve her yerde bulunur. İşte o dindaşlara adâvet ise, dolayısıyla İslâmiyete, Kur’ân’a dokunur. İslâmiyet ve Kur’ân’a karşı adâvet ise, bütün bu vatandaşların hayat-ı dünyeviye ve hayat-ı uhreviyesine bir nevi adâvettir.</w:t>
      </w:r>
      <w:r>
        <w:rPr>
          <w:rFonts w:eastAsia="Times New Roman" w:cs="Calibri" w:ascii="Calibri" w:hAnsi="Calibri"/>
          <w:sz w:val="24"/>
          <w:szCs w:val="24"/>
          <w:lang w:val="tr-TR" w:eastAsia="tr-TR"/>
        </w:rPr>
        <w:t xml:space="preserve"> Hamiyet namına hayat-ı içtimaiyeye hizmet edeyim diye iki hayatın temel taşlarını harap etmek, hamiyet değil, hamâkattir!» </w:t>
      </w:r>
      <w:r>
        <w:rPr>
          <w:rFonts w:eastAsia="Times New Roman" w:cs="Calibri" w:ascii="Calibri" w:hAnsi="Calibri"/>
          <w:sz w:val="20"/>
          <w:szCs w:val="24"/>
          <w:lang w:val="tr-TR" w:eastAsia="tr-TR"/>
        </w:rPr>
        <w:t>(Mektubat sh: 323)</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b/>
          <w:sz w:val="24"/>
          <w:szCs w:val="24"/>
          <w:lang w:val="tr-TR" w:eastAsia="tr-TR"/>
        </w:rPr>
        <w:t>17-</w:t>
      </w:r>
      <w:r>
        <w:rPr>
          <w:rFonts w:eastAsia="Times New Roman" w:cs="Calibri" w:ascii="Calibri" w:hAnsi="Calibri"/>
          <w:sz w:val="24"/>
          <w:szCs w:val="24"/>
          <w:lang w:val="tr-TR" w:eastAsia="tr-TR"/>
        </w:rPr>
        <w:t xml:space="preserve"> «ÜÇÜNCÜ MEBHAS</w:t>
      </w:r>
    </w:p>
    <w:p>
      <w:pPr>
        <w:pStyle w:val="Normal"/>
        <w:spacing w:lineRule="auto" w:line="240" w:before="130" w:after="0"/>
        <w:ind w:left="0" w:right="0" w:hanging="0"/>
        <w:jc w:val="center"/>
        <w:rPr>
          <w:rFonts w:ascii="Times New Roman" w:hAnsi="Times New Roman" w:cs="Times New Roman" w:asciiTheme="majorBidi" w:cstheme="majorBidi" w:hAnsiTheme="majorBidi"/>
          <w:color w:val="000000"/>
          <w:sz w:val="24"/>
          <w:szCs w:val="24"/>
          <w:highlight w:val="white"/>
        </w:rPr>
      </w:pPr>
      <w:r>
        <w:rPr>
          <w:rFonts w:ascii="Calibri" w:hAnsi="Calibri" w:cs="Calibri"/>
          <w:color w:val="FF0000"/>
          <w:sz w:val="28"/>
          <w:sz w:val="28"/>
          <w:szCs w:val="28"/>
          <w:highlight w:val="white"/>
          <w:rtl w:val="true"/>
        </w:rPr>
        <w:t>بِسْمِ اللّٰهِ الرَّحْمٰنِ الرَّحِيمِ</w:t>
      </w:r>
    </w:p>
    <w:p>
      <w:pPr>
        <w:pStyle w:val="Normal"/>
        <w:spacing w:lineRule="auto" w:line="240" w:before="130" w:after="0"/>
        <w:ind w:left="0" w:right="0" w:hanging="0"/>
        <w:jc w:val="center"/>
        <w:rPr>
          <w:rFonts w:ascii="Calibri" w:hAnsi="Calibri" w:cs="Calibri"/>
        </w:rPr>
      </w:pPr>
      <w:r>
        <w:rPr>
          <w:rFonts w:ascii="Calibri" w:hAnsi="Calibri" w:cs="Calibri"/>
          <w:color w:val="FF0000"/>
          <w:sz w:val="28"/>
          <w:sz w:val="28"/>
          <w:szCs w:val="28"/>
          <w:highlight w:val="white"/>
          <w:rtl w:val="true"/>
        </w:rPr>
        <w:t>يَا اَيُّهَا النَّاسُ اِنَّا خَلَقْنَاكُمْ مِنْ ذَكَرٍ وَاُنْثَى وَجَعَلْنَاكُمْ شُعُوبًا وَقَبَائِلَ لِتَعَارَفُوا</w:t>
      </w:r>
    </w:p>
    <w:p>
      <w:pPr>
        <w:pStyle w:val="Normal"/>
        <w:spacing w:lineRule="auto" w:line="240" w:before="130" w:after="0"/>
        <w:ind w:left="0" w:right="0" w:hanging="0"/>
        <w:rPr>
          <w:rFonts w:ascii="Times New Roman" w:hAnsi="Times New Roman" w:eastAsia="Times New Roman" w:cs="Times New Roman" w:asciiTheme="majorBidi" w:cstheme="majorBidi" w:hAnsiTheme="majorBidi"/>
          <w:sz w:val="24"/>
          <w:szCs w:val="24"/>
          <w:lang w:val="tr-TR" w:eastAsia="tr-TR"/>
        </w:rPr>
      </w:pPr>
      <w:r>
        <w:rPr>
          <w:rFonts w:eastAsia="Times New Roman" w:cs="Calibri" w:ascii="Calibri" w:hAnsi="Calibri"/>
          <w:sz w:val="24"/>
          <w:szCs w:val="24"/>
          <w:lang w:val="tr-TR" w:eastAsia="tr-TR"/>
        </w:rPr>
        <w:t>Yani:</w:t>
      </w:r>
    </w:p>
    <w:p>
      <w:pPr>
        <w:pStyle w:val="Normal"/>
        <w:spacing w:lineRule="auto" w:line="240" w:before="130" w:after="0"/>
        <w:ind w:left="0" w:right="0" w:hanging="0"/>
        <w:jc w:val="center"/>
        <w:rPr>
          <w:rFonts w:ascii="Nur Arabic Font" w:hAnsi="Nur Arabic Font" w:cs="Nur Arabic Font"/>
          <w:color w:val="FF0000"/>
          <w:sz w:val="28"/>
          <w:szCs w:val="28"/>
          <w:highlight w:val="white"/>
        </w:rPr>
      </w:pPr>
      <w:r>
        <w:rPr>
          <w:rFonts w:ascii="Calibri" w:hAnsi="Calibri" w:cs="Calibri"/>
          <w:color w:val="FF0000"/>
          <w:sz w:val="28"/>
          <w:sz w:val="28"/>
          <w:szCs w:val="28"/>
          <w:highlight w:val="white"/>
          <w:rtl w:val="true"/>
        </w:rPr>
        <w:t>لِتَعَارَفُوا مُنَاسَبَاتِ الْحَيَاةِ اْلاِجْتِمَاعِيَّةِ فَتَعَاوَنُوا عَلَيْهَا لاَ لِتَنَاكَرُوا فَتَخَاصَمُوا</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sz w:val="24"/>
          <w:szCs w:val="24"/>
          <w:lang w:val="tr-TR" w:eastAsia="tr-TR"/>
        </w:rPr>
        <w:t xml:space="preserve">Yani, “Sizi taife taife, millet </w:t>
      </w:r>
      <w:r>
        <w:fldChar w:fldCharType="begin"/>
      </w:r>
      <w:r>
        <w:rPr>
          <w:rFonts w:cs="Calibri" w:ascii="Calibri" w:hAnsi="Calibri"/>
        </w:rPr>
        <w:instrText> XE "millet :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 xml:space="preserve">millet, kabile kabile </w:t>
      </w:r>
      <w:r>
        <w:fldChar w:fldCharType="begin"/>
      </w:r>
      <w:r>
        <w:rPr>
          <w:rFonts w:cs="Calibri" w:ascii="Calibri" w:hAnsi="Calibri"/>
        </w:rPr>
        <w:instrText> XE "kabile :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sz w:val="24"/>
          <w:szCs w:val="24"/>
          <w:lang w:val="tr-TR" w:eastAsia="tr-TR"/>
        </w:rPr>
        <w:t>yaratmışım, tâ birbirinizi tanımalısınız ve birbirinizdeki hayat-ı içtimaiyeye ait münasebetlerinizi bilesiniz, birbirinize muavenet edesiniz. Yoksa, sizi kabile kabile yaptım ki, yekdiğerinize karşı inkârla yabanî bakasınız, husumet ve adâvet edesiniz değildir.”» (Mektubat  s. 321)</w:t>
      </w:r>
    </w:p>
    <w:p>
      <w:pPr>
        <w:pStyle w:val="Normal"/>
        <w:widowControl w:val="false"/>
        <w:spacing w:lineRule="auto" w:line="240" w:before="130" w:after="0"/>
        <w:ind w:left="0" w:right="0" w:hanging="0"/>
        <w:jc w:val="both"/>
        <w:rPr>
          <w:rFonts w:ascii="Calibri" w:hAnsi="Calibri" w:cs="Calibri"/>
        </w:rPr>
      </w:pPr>
      <w:r>
        <w:rPr>
          <w:rFonts w:eastAsia="Times New Roman" w:cs="Calibri" w:ascii="Calibri" w:hAnsi="Calibri"/>
          <w:b/>
          <w:sz w:val="24"/>
          <w:szCs w:val="24"/>
          <w:lang w:val="tr-TR" w:eastAsia="tr-TR"/>
        </w:rPr>
        <w:t>Risale-i Nur Külliyatından kısmen nakledilen mezkûr sarih beyanlar, mü’minler arasında adavet</w:t>
      </w:r>
      <w:r>
        <w:fldChar w:fldCharType="begin"/>
      </w:r>
      <w:r>
        <w:rPr>
          <w:rFonts w:cs="Calibri" w:ascii="Calibri" w:hAnsi="Calibri"/>
        </w:rPr>
        <w:instrText> XE "mü­’minler aras›nda adavet: " </w:instrText>
      </w:r>
      <w:r>
        <w:rPr>
          <w:rFonts w:cs="Calibri" w:ascii="Calibri" w:hAnsi="Calibri"/>
        </w:rPr>
        <w:fldChar w:fldCharType="separate"/>
      </w:r>
      <w:r>
        <w:rPr>
          <w:rFonts w:cs="Calibri" w:ascii="Calibri" w:hAnsi="Calibri"/>
        </w:rPr>
      </w:r>
      <w:r>
        <w:rPr>
          <w:rFonts w:cs="Calibri" w:ascii="Calibri" w:hAnsi="Calibri"/>
        </w:rPr>
        <w:fldChar w:fldCharType="end"/>
      </w:r>
      <w:r>
        <w:rPr>
          <w:rFonts w:eastAsia="Times New Roman" w:cs="Calibri" w:ascii="Calibri" w:hAnsi="Calibri"/>
          <w:b/>
          <w:sz w:val="24"/>
          <w:szCs w:val="24"/>
          <w:lang w:val="tr-TR" w:eastAsia="tr-TR"/>
        </w:rPr>
        <w:t xml:space="preserve">in kat’iyetle caiz olmadığını gösteriyor. </w:t>
      </w:r>
    </w:p>
    <w:p>
      <w:pPr>
        <w:pStyle w:val="Normal"/>
        <w:widowControl w:val="false"/>
        <w:spacing w:lineRule="auto" w:line="240" w:before="130" w:after="0"/>
        <w:ind w:left="0" w:right="0" w:hanging="0"/>
        <w:jc w:val="both"/>
        <w:rPr>
          <w:rFonts w:ascii="Times New Roman" w:hAnsi="Times New Roman" w:eastAsia="Times New Roman" w:cs="Times New Roman" w:asciiTheme="majorBidi" w:cstheme="majorBidi" w:hAnsiTheme="majorBidi"/>
          <w:b/>
          <w:b/>
          <w:sz w:val="24"/>
          <w:szCs w:val="24"/>
          <w:lang w:val="tr-TR" w:eastAsia="tr-TR"/>
        </w:rPr>
      </w:pPr>
      <w:r>
        <w:rPr>
          <w:rFonts w:eastAsia="Times New Roman" w:cs="Calibri" w:ascii="Calibri" w:hAnsi="Calibri"/>
          <w:b/>
          <w:sz w:val="24"/>
          <w:szCs w:val="24"/>
          <w:lang w:val="tr-TR" w:eastAsia="tr-TR"/>
        </w:rPr>
        <w:t>Ancak bazı mü’minlerin hatalı anlayış ve hareketlerinden doğabilecek zararların önlenmesi bakımından bunların tashihi için yapılan müsbet ve meşru olan hatırlatma, ikaz ve kardeşliğin gerektirdiği üslûb içinde ve adavet hissinin karıştırılmadığı tenkid bir vazifedir. Bu tarz ikazat ve tenkidle adavet iltibas edilmemelidir.</w:t>
      </w:r>
    </w:p>
    <w:p>
      <w:pPr>
        <w:pStyle w:val="Normal"/>
        <w:spacing w:lineRule="auto" w:line="240" w:before="130" w:after="0"/>
        <w:ind w:left="0" w:right="0" w:hanging="0"/>
        <w:rPr>
          <w:rFonts w:ascii="Calibri" w:hAnsi="Calibri" w:cs="Calibri"/>
        </w:rPr>
      </w:pPr>
      <w:r>
        <w:rPr>
          <w:rFonts w:cs="Calibri" w:ascii="Calibri" w:hAnsi="Calibri"/>
        </w:rPr>
      </w:r>
    </w:p>
    <w:sectPr>
      <w:footnotePr>
        <w:numFmt w:val="decimal"/>
      </w:footnotePr>
      <w:type w:val="nextPage"/>
      <w:pgSz w:w="12240" w:h="15840"/>
      <w:pgMar w:left="1417" w:right="1413"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Nur Arabic Font">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widowControl/>
        <w:bidi w:val="0"/>
        <w:spacing w:lineRule="auto" w:line="240" w:before="0" w:after="0"/>
        <w:ind w:left="0" w:right="0" w:hanging="0"/>
        <w:jc w:val="both"/>
        <w:rPr>
          <w:rFonts w:ascii="Calibri" w:hAnsi="Calibri"/>
          <w:sz w:val="24"/>
          <w:szCs w:val="24"/>
        </w:rPr>
      </w:pPr>
      <w:r>
        <w:rPr>
          <w:rStyle w:val="DipnotKarakterleri"/>
        </w:rPr>
        <w:footnoteRef/>
      </w:r>
      <w:r>
        <w:rPr>
          <w:rFonts w:ascii="Calibri" w:hAnsi="Calibri"/>
          <w:sz w:val="24"/>
          <w:szCs w:val="24"/>
        </w:rPr>
        <w:t xml:space="preserve">  </w:t>
      </w:r>
      <w:r>
        <w:rPr>
          <w:rFonts w:ascii="Calibri" w:hAnsi="Calibri"/>
          <w:sz w:val="24"/>
          <w:szCs w:val="24"/>
        </w:rPr>
        <w:t>Hucurat Sûresi, 49:10.</w:t>
      </w:r>
    </w:p>
  </w:footnote>
  <w:footnote w:id="3">
    <w:p>
      <w:pPr>
        <w:pStyle w:val="Dipnot"/>
        <w:widowControl/>
        <w:bidi w:val="0"/>
        <w:spacing w:lineRule="auto" w:line="240" w:before="0" w:after="0"/>
        <w:ind w:left="0" w:right="0" w:hanging="0"/>
        <w:jc w:val="both"/>
        <w:rPr>
          <w:rFonts w:ascii="Calibri" w:hAnsi="Calibri"/>
          <w:sz w:val="24"/>
          <w:szCs w:val="24"/>
        </w:rPr>
      </w:pPr>
      <w:r>
        <w:rPr>
          <w:rStyle w:val="DipnotKarakterleri"/>
        </w:rPr>
        <w:footnoteRef/>
      </w:r>
      <w:r>
        <w:rPr>
          <w:rFonts w:ascii="Calibri" w:hAnsi="Calibri"/>
          <w:sz w:val="24"/>
          <w:szCs w:val="24"/>
        </w:rPr>
        <w:t xml:space="preserve"> </w:t>
      </w:r>
      <w:r>
        <w:rPr>
          <w:rFonts w:ascii="Calibri" w:hAnsi="Calibri"/>
          <w:sz w:val="24"/>
          <w:szCs w:val="24"/>
        </w:rPr>
        <w:t>Buharî, Salât: 88; Edeb: 36; Mezâlim: 5; Müslim, Birr: 65; Tirmizî, Birr: 18; Nesâî, Zekât: 67.</w:t>
      </w:r>
    </w:p>
  </w:footnote>
  <w:footnote w:id="4">
    <w:p>
      <w:pPr>
        <w:pStyle w:val="Dipnot"/>
        <w:widowControl/>
        <w:bidi w:val="0"/>
        <w:spacing w:lineRule="auto" w:line="240" w:before="0" w:after="0"/>
        <w:ind w:left="0" w:right="0" w:hanging="0"/>
        <w:jc w:val="both"/>
        <w:rPr>
          <w:rFonts w:ascii="Calibri" w:hAnsi="Calibri"/>
          <w:sz w:val="24"/>
          <w:szCs w:val="24"/>
        </w:rPr>
      </w:pPr>
      <w:r>
        <w:rPr>
          <w:rStyle w:val="DipnotKarakterleri"/>
        </w:rPr>
        <w:footnoteRef/>
      </w:r>
      <w:r>
        <w:rPr>
          <w:rFonts w:ascii="Calibri" w:hAnsi="Calibri"/>
          <w:sz w:val="24"/>
          <w:szCs w:val="24"/>
        </w:rPr>
        <w:t xml:space="preserve">  </w:t>
      </w:r>
      <w:r>
        <w:rPr>
          <w:rFonts w:ascii="Calibri" w:hAnsi="Calibri"/>
          <w:sz w:val="24"/>
          <w:szCs w:val="24"/>
        </w:rPr>
        <w:t>En’âm Sûresi, 6:164; İsrâ Sûresi, 17:15; Fâtır Sûresi, 35:18; Zümer Sûresi, 39:7.</w:t>
      </w:r>
    </w:p>
  </w:footnote>
  <w:footnote w:id="5">
    <w:p>
      <w:pPr>
        <w:pStyle w:val="Dipnot"/>
        <w:widowControl/>
        <w:bidi w:val="0"/>
        <w:spacing w:lineRule="auto" w:line="240" w:before="0" w:after="0"/>
        <w:ind w:left="0" w:right="0" w:hanging="0"/>
        <w:jc w:val="both"/>
        <w:rPr>
          <w:rFonts w:ascii="Calibri" w:hAnsi="Calibri"/>
          <w:sz w:val="24"/>
          <w:szCs w:val="24"/>
        </w:rPr>
      </w:pPr>
      <w:r>
        <w:rPr>
          <w:rStyle w:val="DipnotKarakterleri"/>
        </w:rPr>
        <w:footnoteRef/>
      </w:r>
      <w:r>
        <w:rPr>
          <w:rFonts w:ascii="Calibri" w:hAnsi="Calibri"/>
          <w:sz w:val="24"/>
          <w:szCs w:val="24"/>
        </w:rPr>
        <w:t xml:space="preserve">  </w:t>
      </w:r>
      <w:r>
        <w:rPr>
          <w:rFonts w:ascii="Calibri" w:hAnsi="Calibri"/>
          <w:sz w:val="24"/>
          <w:szCs w:val="24"/>
        </w:rPr>
        <w:t>Buharî, Îmân: 1.</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DipnotSabitleyicisi">
    <w:name w:val="Dipnot Sabitleyicisi"/>
    <w:rPr>
      <w:rFonts w:ascii="Times New Roman" w:hAnsi="Times New Roman"/>
      <w:strike w:val="false"/>
      <w:dstrike w:val="false"/>
      <w:position w:val="0"/>
      <w:sz w:val="16"/>
      <w:sz w:val="16"/>
      <w:szCs w:val="20"/>
      <w:vertAlign w:val="baseline"/>
    </w:rPr>
  </w:style>
  <w:style w:type="character" w:styleId="FootnoteCharacters">
    <w:name w:val="Footnote Characters"/>
    <w:basedOn w:val="DefaultParagraphFont"/>
    <w:semiHidden/>
    <w:qFormat/>
    <w:rsid w:val="003733ca"/>
    <w:rPr>
      <w:rFonts w:ascii="Times New Roman" w:hAnsi="Times New Roman"/>
      <w:strike w:val="false"/>
      <w:dstrike w:val="false"/>
      <w:position w:val="0"/>
      <w:sz w:val="16"/>
      <w:sz w:val="16"/>
      <w:szCs w:val="20"/>
      <w:vertAlign w:val="baseline"/>
    </w:rPr>
  </w:style>
  <w:style w:type="character" w:styleId="DipnotKarakterleri">
    <w:name w:val="Dipnot Karakterleri"/>
    <w:qForma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customStyle="1">
    <w:name w:val="dipnot"/>
    <w:basedOn w:val="Normal"/>
    <w:qFormat/>
    <w:rsid w:val="003733ca"/>
    <w:pPr>
      <w:spacing w:lineRule="auto" w:line="240" w:before="0" w:after="0"/>
      <w:jc w:val="both"/>
    </w:pPr>
    <w:rPr>
      <w:rFonts w:ascii="Times New Roman" w:hAnsi="Times New Roman" w:eastAsia="Times New Roman" w:cs="Times New Roman"/>
      <w:sz w:val="18"/>
      <w:szCs w:val="18"/>
      <w:lang w:val="tr-TR" w:eastAsia="tr-TR"/>
    </w:rPr>
  </w:style>
  <w:style w:type="paragraph" w:styleId="Dipnot1">
    <w:name w:val="Footnote Text"/>
    <w:basedOn w:val="Normal"/>
    <w:pPr/>
    <w:rPr/>
  </w:style>
  <w:style w:type="paragraph" w:styleId="IntenseQuote">
    <w:name w:val="Intense Quote"/>
    <w:basedOn w:val="Normal"/>
    <w:next w:val="Normal"/>
    <w:qFormat/>
    <w:pPr>
      <w:pBdr>
        <w:top w:val="single" w:sz="4" w:space="10" w:color="4F81BD"/>
        <w:bottom w:val="single" w:sz="4" w:space="10" w:color="4F81BD"/>
      </w:pBdr>
      <w:spacing w:before="360" w:after="360"/>
      <w:ind w:left="864" w:right="864" w:hanging="0"/>
      <w:jc w:val="center"/>
    </w:pPr>
    <w:rPr>
      <w:i/>
      <w:iCs/>
      <w:color w:val="4F81BD"/>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LibreOffice/6.3.3.2$Windows_X86_64 LibreOffice_project/a64200df03143b798afd1ec74a12ab50359878ed</Application>
  <Pages>4</Pages>
  <Words>1354</Words>
  <Characters>8607</Characters>
  <CharactersWithSpaces>9969</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2020-01-09T16:40:00Z</dcterms:created>
  <dc:creator>Erkay</dc:creator>
  <dc:description/>
  <dc:language>tr-TR</dc:language>
  <cp:lastModifiedBy/>
  <dcterms:modified xsi:type="dcterms:W3CDTF">2020-01-10T00:09:17Z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